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3014C" w14:textId="77777777" w:rsidR="00420794" w:rsidRPr="00420794" w:rsidRDefault="004E74FE" w:rsidP="00740208">
      <w:pPr>
        <w:rPr>
          <w:rFonts w:ascii="Arial Narrow" w:eastAsiaTheme="majorEastAsia" w:hAnsi="Arial Narrow" w:cs="Arial"/>
          <w:caps/>
          <w:color w:val="45BFF2"/>
          <w:spacing w:val="-10"/>
          <w:kern w:val="28"/>
          <w:sz w:val="32"/>
          <w:szCs w:val="32"/>
        </w:rPr>
      </w:pPr>
      <w:r w:rsidRPr="00420794">
        <w:rPr>
          <w:rFonts w:ascii="Arial Narrow" w:eastAsiaTheme="majorEastAsia" w:hAnsi="Arial Narrow" w:cs="Arial"/>
          <w:caps/>
          <w:color w:val="45BFF2"/>
          <w:spacing w:val="-10"/>
          <w:kern w:val="28"/>
          <w:sz w:val="32"/>
          <w:szCs w:val="32"/>
        </w:rPr>
        <w:t>Appendix 8.9:</w:t>
      </w:r>
      <w:r w:rsidRPr="00420794">
        <w:rPr>
          <w:rFonts w:ascii="Arial Narrow" w:eastAsiaTheme="majorEastAsia" w:hAnsi="Arial Narrow" w:cs="Arial"/>
          <w:caps/>
          <w:color w:val="45BFF2"/>
          <w:spacing w:val="-10"/>
          <w:kern w:val="28"/>
          <w:sz w:val="32"/>
          <w:szCs w:val="32"/>
        </w:rPr>
        <w:tab/>
      </w:r>
    </w:p>
    <w:p w14:paraId="3D549F5C" w14:textId="5610A551" w:rsidR="004E74FE" w:rsidRPr="00420794" w:rsidRDefault="004E74FE" w:rsidP="00740208">
      <w:pPr>
        <w:rPr>
          <w:rFonts w:ascii="Arial Narrow" w:eastAsia="Oswald" w:hAnsi="Arial Narrow" w:cs="Oswald"/>
          <w:b/>
          <w:bCs/>
          <w:caps/>
          <w:color w:val="00548E"/>
          <w:sz w:val="28"/>
          <w:szCs w:val="48"/>
        </w:rPr>
      </w:pPr>
      <w:r w:rsidRPr="00420794">
        <w:rPr>
          <w:rFonts w:ascii="Arial Narrow" w:eastAsia="Oswald" w:hAnsi="Arial Narrow" w:cs="Oswald"/>
          <w:b/>
          <w:bCs/>
          <w:caps/>
          <w:color w:val="00548E"/>
          <w:sz w:val="28"/>
          <w:szCs w:val="48"/>
        </w:rPr>
        <w:t xml:space="preserve">An Independent Auditor’s Report containing a Qualified Opinion due to a departure from the Applicable Financial Reporting Framework and that includes an Emphasis of Matter Paragraph, and an Other Matter Paragraph (ISSAI </w:t>
      </w:r>
      <w:r w:rsidR="00D76DFD" w:rsidRPr="00420794">
        <w:rPr>
          <w:rFonts w:ascii="Arial Narrow" w:eastAsia="Oswald" w:hAnsi="Arial Narrow" w:cs="Oswald"/>
          <w:b/>
          <w:bCs/>
          <w:caps/>
          <w:color w:val="00548E"/>
          <w:sz w:val="28"/>
          <w:szCs w:val="48"/>
        </w:rPr>
        <w:t>2</w:t>
      </w:r>
      <w:r w:rsidRPr="00420794">
        <w:rPr>
          <w:rFonts w:ascii="Arial Narrow" w:eastAsia="Oswald" w:hAnsi="Arial Narrow" w:cs="Oswald"/>
          <w:b/>
          <w:bCs/>
          <w:caps/>
          <w:color w:val="00548E"/>
          <w:sz w:val="28"/>
          <w:szCs w:val="48"/>
        </w:rPr>
        <w:t>706)</w:t>
      </w:r>
    </w:p>
    <w:p w14:paraId="72725134" w14:textId="77777777" w:rsidR="004E74FE" w:rsidRPr="00D76E25" w:rsidRDefault="004E74FE" w:rsidP="004E74FE">
      <w:pPr>
        <w:ind w:left="1418" w:hanging="1418"/>
        <w:rPr>
          <w:b/>
          <w:color w:val="00528E"/>
          <w:szCs w:val="22"/>
        </w:rPr>
      </w:pPr>
    </w:p>
    <w:tbl>
      <w:tblPr>
        <w:tblStyle w:val="TableGrid"/>
        <w:tblW w:w="9540" w:type="dxa"/>
        <w:tblInd w:w="-5" w:type="dxa"/>
        <w:tblLook w:val="04A0" w:firstRow="1" w:lastRow="0" w:firstColumn="1" w:lastColumn="0" w:noHBand="0" w:noVBand="1"/>
      </w:tblPr>
      <w:tblGrid>
        <w:gridCol w:w="9540"/>
      </w:tblGrid>
      <w:tr w:rsidR="004E74FE" w14:paraId="6F8C1897" w14:textId="77777777" w:rsidTr="00DC19F2">
        <w:tc>
          <w:tcPr>
            <w:tcW w:w="9540" w:type="dxa"/>
          </w:tcPr>
          <w:p w14:paraId="26A22E5B" w14:textId="77777777" w:rsidR="004E74FE" w:rsidRPr="000B2E61" w:rsidRDefault="004E74FE" w:rsidP="00AF5F47">
            <w:pPr>
              <w:spacing w:before="33" w:after="120"/>
              <w:ind w:right="-20"/>
              <w:rPr>
                <w:rFonts w:ascii="Aptos" w:eastAsia="Times New Roman" w:hAnsi="Aptos" w:cs="Tahoma"/>
                <w:color w:val="44546A" w:themeColor="text2"/>
                <w:sz w:val="20"/>
                <w:szCs w:val="20"/>
                <w:lang w:val="en-GB"/>
              </w:rPr>
            </w:pPr>
            <w:r>
              <w:rPr>
                <w:rFonts w:cstheme="minorHAnsi"/>
                <w:sz w:val="21"/>
                <w:szCs w:val="21"/>
              </w:rPr>
              <w:br w:type="column"/>
            </w:r>
            <w:r w:rsidRPr="000B2E61">
              <w:rPr>
                <w:rFonts w:ascii="Aptos" w:eastAsia="Times New Roman" w:hAnsi="Aptos" w:cs="Tahoma"/>
                <w:color w:val="44546A" w:themeColor="text2"/>
                <w:sz w:val="20"/>
                <w:szCs w:val="20"/>
                <w:lang w:val="en-GB"/>
              </w:rPr>
              <w:t>For purposes of this illustrative auditor’s report, the following circumstances are assumed:</w:t>
            </w:r>
          </w:p>
          <w:p w14:paraId="36D91347" w14:textId="6D349BA0"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 xml:space="preserve">Audit of a complete set of financial statements of a government entity using a fair presentation framework. The audit is not an audit of consolidated financial statements of the government (i.e., ISSAI </w:t>
            </w:r>
            <w:r w:rsidR="00D76DFD" w:rsidRPr="000B2E61">
              <w:rPr>
                <w:rFonts w:ascii="Aptos" w:eastAsia="Times New Roman" w:hAnsi="Aptos" w:cs="Tahoma"/>
                <w:color w:val="44546A" w:themeColor="text2"/>
                <w:sz w:val="20"/>
                <w:szCs w:val="20"/>
                <w:lang w:val="en-GB"/>
              </w:rPr>
              <w:t>2</w:t>
            </w:r>
            <w:r w:rsidRPr="000B2E61">
              <w:rPr>
                <w:rFonts w:ascii="Aptos" w:eastAsia="Times New Roman" w:hAnsi="Aptos" w:cs="Tahoma"/>
                <w:color w:val="44546A" w:themeColor="text2"/>
                <w:sz w:val="20"/>
                <w:szCs w:val="20"/>
                <w:lang w:val="en-GB"/>
              </w:rPr>
              <w:t>600 does not apply).</w:t>
            </w:r>
          </w:p>
          <w:p w14:paraId="40C569CD" w14:textId="77777777"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The financial statements are prepared by management of the entity in accordance with IPSASs (a general-purpose framework).</w:t>
            </w:r>
          </w:p>
          <w:p w14:paraId="7078C399" w14:textId="2DEB12A4"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 xml:space="preserve">The  terms  of the audit engagement reflect the description of management’s responsibility for the financial statements in ISSAI </w:t>
            </w:r>
            <w:r w:rsidR="00D76DFD" w:rsidRPr="000B2E61">
              <w:rPr>
                <w:rFonts w:ascii="Aptos" w:eastAsia="Times New Roman" w:hAnsi="Aptos" w:cs="Tahoma"/>
                <w:color w:val="44546A" w:themeColor="text2"/>
                <w:sz w:val="20"/>
                <w:szCs w:val="20"/>
                <w:lang w:val="en-GB"/>
              </w:rPr>
              <w:t>2</w:t>
            </w:r>
            <w:r w:rsidRPr="000B2E61">
              <w:rPr>
                <w:rFonts w:ascii="Aptos" w:eastAsia="Times New Roman" w:hAnsi="Aptos" w:cs="Tahoma"/>
                <w:color w:val="44546A" w:themeColor="text2"/>
                <w:sz w:val="20"/>
                <w:szCs w:val="20"/>
                <w:lang w:val="en-GB"/>
              </w:rPr>
              <w:t>210.</w:t>
            </w:r>
          </w:p>
          <w:p w14:paraId="63F4B486" w14:textId="77777777"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A departure from the applicable financial reporting framework resulted in a qualified opinion.</w:t>
            </w:r>
          </w:p>
          <w:p w14:paraId="3DBE60E8" w14:textId="77777777"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The relevant ethical requirements that apply to the audit are those of the jurisdiction of a public-sector auditor.</w:t>
            </w:r>
          </w:p>
          <w:p w14:paraId="4B987128" w14:textId="0C5745B6"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D76DFD" w:rsidRPr="000B2E61">
              <w:rPr>
                <w:rFonts w:ascii="Aptos" w:eastAsia="Times New Roman" w:hAnsi="Aptos" w:cs="Tahoma"/>
                <w:color w:val="44546A" w:themeColor="text2"/>
                <w:sz w:val="20"/>
                <w:szCs w:val="20"/>
                <w:lang w:val="en-GB"/>
              </w:rPr>
              <w:t>2</w:t>
            </w:r>
            <w:r w:rsidRPr="000B2E61">
              <w:rPr>
                <w:rFonts w:ascii="Aptos" w:eastAsia="Times New Roman" w:hAnsi="Aptos" w:cs="Tahoma"/>
                <w:color w:val="44546A" w:themeColor="text2"/>
                <w:sz w:val="20"/>
                <w:szCs w:val="20"/>
                <w:lang w:val="en-GB"/>
              </w:rPr>
              <w:t>570 (Revised).</w:t>
            </w:r>
          </w:p>
          <w:p w14:paraId="3239F34F" w14:textId="77777777" w:rsidR="004E74FE" w:rsidRPr="000B2E61" w:rsidRDefault="004E74FE" w:rsidP="00B46292">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Between the date of the financial statements and the date of the auditor’s report, the construction firm who was awarded the work to construct a parking space and the garage in front of its newly built building had submitted its inability to continue the work. The firm was paid an amount of XXX in advance payment. This was disclosed by the entity as a subsequent event. In the auditor’s judgment, the matter is of such importance that it is fundamental to users’ understanding of the financial statements. The matter did not require significant auditor attention in the audit of the financial statements in the current period.</w:t>
            </w:r>
          </w:p>
          <w:p w14:paraId="7437E720" w14:textId="03797F59"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 xml:space="preserve">The auditor is   not  required,  and  has   otherwise  not   decided,  to communicate key audit matters in accordance with ISA </w:t>
            </w:r>
            <w:r w:rsidR="00D76DFD" w:rsidRPr="000B2E61">
              <w:rPr>
                <w:rFonts w:ascii="Aptos" w:eastAsia="Times New Roman" w:hAnsi="Aptos" w:cs="Tahoma"/>
                <w:color w:val="44546A" w:themeColor="text2"/>
                <w:sz w:val="20"/>
                <w:szCs w:val="20"/>
                <w:lang w:val="en-GB"/>
              </w:rPr>
              <w:t>2</w:t>
            </w:r>
            <w:r w:rsidRPr="000B2E61">
              <w:rPr>
                <w:rFonts w:ascii="Aptos" w:eastAsia="Times New Roman" w:hAnsi="Aptos" w:cs="Tahoma"/>
                <w:color w:val="44546A" w:themeColor="text2"/>
                <w:sz w:val="20"/>
                <w:szCs w:val="20"/>
                <w:lang w:val="en-GB"/>
              </w:rPr>
              <w:t>701.</w:t>
            </w:r>
          </w:p>
          <w:p w14:paraId="1FAAB721" w14:textId="77777777" w:rsidR="004E74FE" w:rsidRPr="000B2E61" w:rsidRDefault="004E74FE" w:rsidP="00B46292">
            <w:pPr>
              <w:pStyle w:val="ListParagraph"/>
              <w:widowControl w:val="0"/>
              <w:numPr>
                <w:ilvl w:val="0"/>
                <w:numId w:val="2"/>
              </w:numPr>
              <w:tabs>
                <w:tab w:val="left" w:pos="660"/>
              </w:tabs>
              <w:spacing w:before="41" w:after="120" w:line="245" w:lineRule="auto"/>
              <w:ind w:left="596" w:right="155" w:hanging="425"/>
              <w:contextualSpacing w:val="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The auditor has obtained all of the other information prior to the date of the auditor’s report and has not yet identified a material misstatement of the other information.</w:t>
            </w:r>
          </w:p>
          <w:p w14:paraId="7340343E" w14:textId="77777777" w:rsidR="004E74FE" w:rsidRPr="000B2E61" w:rsidRDefault="004E74FE" w:rsidP="00AF5F47">
            <w:pPr>
              <w:tabs>
                <w:tab w:val="left" w:pos="660"/>
              </w:tabs>
              <w:spacing w:before="44" w:after="120" w:line="245" w:lineRule="auto"/>
              <w:ind w:left="673" w:right="161" w:hanging="547"/>
              <w:jc w:val="both"/>
              <w:rPr>
                <w:rFonts w:ascii="Aptos" w:eastAsia="Times New Roman" w:hAnsi="Aptos" w:cs="Tahoma"/>
                <w:color w:val="44546A" w:themeColor="text2"/>
                <w:sz w:val="20"/>
                <w:szCs w:val="20"/>
                <w:lang w:val="en-GB"/>
              </w:rPr>
            </w:pPr>
            <w:r w:rsidRPr="007C4BAB">
              <w:rPr>
                <w:rFonts w:eastAsia="Times New Roman" w:cstheme="minorHAnsi"/>
                <w:w w:val="131"/>
                <w:sz w:val="21"/>
                <w:szCs w:val="21"/>
              </w:rPr>
              <w:t>•</w:t>
            </w:r>
            <w:r w:rsidRPr="000B2E61">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w:t>
            </w:r>
          </w:p>
          <w:p w14:paraId="012124C4" w14:textId="77777777" w:rsidR="004E74FE" w:rsidRPr="00FE4827" w:rsidRDefault="004E74FE" w:rsidP="00AF5F47">
            <w:pPr>
              <w:tabs>
                <w:tab w:val="left" w:pos="660"/>
              </w:tabs>
              <w:spacing w:before="46" w:after="120" w:line="245" w:lineRule="auto"/>
              <w:ind w:left="673" w:right="163" w:hanging="547"/>
              <w:jc w:val="both"/>
              <w:rPr>
                <w:rFonts w:eastAsia="Times New Roman" w:cstheme="minorHAnsi"/>
                <w:sz w:val="21"/>
                <w:szCs w:val="21"/>
              </w:rPr>
            </w:pPr>
            <w:r w:rsidRPr="000B2E61">
              <w:rPr>
                <w:rFonts w:ascii="Aptos" w:eastAsia="Times New Roman" w:hAnsi="Aptos" w:cs="Tahoma"/>
                <w:color w:val="44546A" w:themeColor="text2"/>
                <w:sz w:val="20"/>
                <w:szCs w:val="20"/>
                <w:lang w:val="en-GB"/>
              </w:rPr>
              <w:t>•</w:t>
            </w:r>
            <w:r w:rsidRPr="000B2E61">
              <w:rPr>
                <w:rFonts w:ascii="Aptos" w:eastAsia="Times New Roman" w:hAnsi="Aptos" w:cs="Tahoma"/>
                <w:color w:val="44546A" w:themeColor="text2"/>
                <w:sz w:val="20"/>
                <w:szCs w:val="20"/>
                <w:lang w:val="en-GB"/>
              </w:rPr>
              <w:tab/>
              <w:t>In addition to the audit of the financial statements, the auditor has other reporting responsibilities required under local law.</w:t>
            </w:r>
          </w:p>
        </w:tc>
      </w:tr>
    </w:tbl>
    <w:p w14:paraId="6C984B32" w14:textId="26C88223" w:rsidR="000B2E61" w:rsidRPr="000B2E61" w:rsidRDefault="000B2E61" w:rsidP="000B2E61">
      <w:pPr>
        <w:tabs>
          <w:tab w:val="left" w:pos="7820"/>
        </w:tabs>
        <w:rPr>
          <w:rFonts w:cstheme="minorHAnsi"/>
          <w:sz w:val="21"/>
          <w:szCs w:val="21"/>
        </w:rPr>
        <w:sectPr w:rsidR="000B2E61" w:rsidRPr="000B2E61" w:rsidSect="00DC19F2">
          <w:headerReference w:type="default" r:id="rId10"/>
          <w:footerReference w:type="default" r:id="rId11"/>
          <w:pgSz w:w="11906" w:h="16838" w:code="9"/>
          <w:pgMar w:top="1440" w:right="1080" w:bottom="1440" w:left="1080" w:header="352" w:footer="688" w:gutter="0"/>
          <w:cols w:space="720"/>
        </w:sectPr>
      </w:pPr>
    </w:p>
    <w:p w14:paraId="2989A996" w14:textId="77777777" w:rsidR="004E74FE" w:rsidRPr="007C4BAB" w:rsidRDefault="004E74FE" w:rsidP="004E74FE">
      <w:pPr>
        <w:spacing w:before="29" w:after="120"/>
        <w:ind w:right="2691"/>
        <w:jc w:val="both"/>
        <w:rPr>
          <w:rFonts w:eastAsia="Times New Roman" w:cstheme="minorHAnsi"/>
          <w:sz w:val="21"/>
          <w:szCs w:val="21"/>
        </w:rPr>
      </w:pPr>
      <w:r w:rsidRPr="007C4BAB">
        <w:rPr>
          <w:rFonts w:eastAsia="Times New Roman" w:cstheme="minorHAnsi"/>
          <w:b/>
          <w:bCs/>
          <w:sz w:val="21"/>
          <w:szCs w:val="21"/>
        </w:rPr>
        <w:lastRenderedPageBreak/>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213BB30A" w14:textId="77777777" w:rsidR="004E74FE" w:rsidRPr="007C4BAB" w:rsidRDefault="004E74FE" w:rsidP="004E74FE">
      <w:pPr>
        <w:spacing w:before="1" w:after="120" w:line="120" w:lineRule="exact"/>
        <w:rPr>
          <w:rFonts w:cstheme="minorHAnsi"/>
          <w:sz w:val="21"/>
          <w:szCs w:val="21"/>
        </w:rPr>
      </w:pPr>
    </w:p>
    <w:p w14:paraId="0A504E6B" w14:textId="77777777" w:rsidR="004E74FE" w:rsidRPr="000B2E61" w:rsidRDefault="004E74FE" w:rsidP="004E74FE">
      <w:pPr>
        <w:spacing w:after="120"/>
        <w:ind w:right="1075"/>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To the Minister/Secretary/Director of ABC Ministry/Department [or Other Appropriate Addressee]</w:t>
      </w:r>
    </w:p>
    <w:p w14:paraId="45DD12CC" w14:textId="7A0DC86B" w:rsidR="004E74FE" w:rsidRPr="000B2E61" w:rsidRDefault="00BB47D0" w:rsidP="00BB47D0">
      <w:pPr>
        <w:tabs>
          <w:tab w:val="left" w:pos="1623"/>
        </w:tabs>
        <w:spacing w:before="7" w:after="120" w:line="130" w:lineRule="exact"/>
        <w:rPr>
          <w:rFonts w:ascii="Aptos" w:eastAsia="Times New Roman" w:hAnsi="Aptos" w:cs="Tahoma"/>
          <w:color w:val="44546A" w:themeColor="text2"/>
          <w:sz w:val="20"/>
          <w:szCs w:val="20"/>
        </w:rPr>
      </w:pPr>
      <w:r>
        <w:rPr>
          <w:rFonts w:ascii="Aptos" w:eastAsia="Times New Roman" w:hAnsi="Aptos" w:cs="Tahoma"/>
          <w:color w:val="44546A" w:themeColor="text2"/>
          <w:sz w:val="20"/>
          <w:szCs w:val="20"/>
        </w:rPr>
        <w:tab/>
      </w:r>
    </w:p>
    <w:p w14:paraId="4D26F13A" w14:textId="77777777" w:rsidR="004E74FE" w:rsidRPr="000B2E61" w:rsidRDefault="004E74FE" w:rsidP="004E74FE">
      <w:pPr>
        <w:ind w:right="1895"/>
        <w:jc w:val="both"/>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Report on the Audit of the Financial Statements</w:t>
      </w:r>
      <w:r w:rsidRPr="000B2E61">
        <w:rPr>
          <w:rFonts w:ascii="Aptos" w:hAnsi="Aptos" w:cs="Tahoma"/>
          <w:b/>
          <w:bCs/>
          <w:color w:val="44546A" w:themeColor="text2"/>
          <w:sz w:val="20"/>
          <w:szCs w:val="20"/>
        </w:rPr>
        <w:footnoteReference w:id="1"/>
      </w:r>
    </w:p>
    <w:p w14:paraId="6A012518" w14:textId="77777777" w:rsidR="004E74FE" w:rsidRPr="000B2E61" w:rsidRDefault="004E74FE" w:rsidP="004E74FE">
      <w:pPr>
        <w:spacing w:before="1" w:line="120" w:lineRule="exact"/>
        <w:rPr>
          <w:rFonts w:ascii="Aptos" w:eastAsia="Times New Roman" w:hAnsi="Aptos" w:cs="Tahoma"/>
          <w:b/>
          <w:bCs/>
          <w:color w:val="44546A" w:themeColor="text2"/>
          <w:sz w:val="20"/>
          <w:szCs w:val="20"/>
        </w:rPr>
      </w:pPr>
    </w:p>
    <w:p w14:paraId="48F9008E" w14:textId="77777777" w:rsidR="004E74FE" w:rsidRPr="000B2E61" w:rsidRDefault="004E74FE" w:rsidP="004E74FE">
      <w:pPr>
        <w:ind w:right="6211"/>
        <w:jc w:val="both"/>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Qualified Opinion</w:t>
      </w:r>
    </w:p>
    <w:p w14:paraId="13972493" w14:textId="77777777" w:rsidR="004E74FE" w:rsidRPr="000B2E61" w:rsidRDefault="004E74FE" w:rsidP="004E74FE">
      <w:pPr>
        <w:spacing w:before="10" w:line="120" w:lineRule="exact"/>
        <w:rPr>
          <w:rFonts w:ascii="Aptos" w:eastAsia="Times New Roman" w:hAnsi="Aptos" w:cs="Tahoma"/>
          <w:color w:val="44546A" w:themeColor="text2"/>
          <w:sz w:val="20"/>
          <w:szCs w:val="20"/>
        </w:rPr>
      </w:pPr>
    </w:p>
    <w:p w14:paraId="2862DED7" w14:textId="77777777" w:rsidR="004E74FE" w:rsidRPr="000B2E61" w:rsidRDefault="004E74FE" w:rsidP="004E74FE">
      <w:pPr>
        <w:spacing w:line="250" w:lineRule="auto"/>
        <w:ind w:right="64"/>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We have audited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740BA3DC" w14:textId="77777777" w:rsidR="004E74FE" w:rsidRPr="000B2E61" w:rsidRDefault="004E74FE" w:rsidP="004E74FE">
      <w:pPr>
        <w:spacing w:line="120" w:lineRule="exact"/>
        <w:rPr>
          <w:rFonts w:ascii="Aptos" w:eastAsia="Times New Roman" w:hAnsi="Aptos" w:cs="Tahoma"/>
          <w:color w:val="44546A" w:themeColor="text2"/>
          <w:sz w:val="20"/>
          <w:szCs w:val="20"/>
        </w:rPr>
      </w:pPr>
    </w:p>
    <w:p w14:paraId="7D9A333E" w14:textId="77777777" w:rsidR="004E74FE" w:rsidRPr="000B2E61" w:rsidRDefault="004E74FE" w:rsidP="004E74FE">
      <w:pPr>
        <w:spacing w:line="250" w:lineRule="auto"/>
        <w:ind w:right="66"/>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In our opinion, except for the effects of the matter described in the Basis for Qualified Opinion section of our report, the accompanying financial statements present fairly, in all material respects, (or give a true and fair view of) the financial position of the Ministry as at December 31, 20X1, and (of) its financial performance and its cash flows for the year then ended in accordance with International Public Sector Accounting Standards (IPSASs).</w:t>
      </w:r>
    </w:p>
    <w:p w14:paraId="1FACC956" w14:textId="77777777" w:rsidR="004E74FE" w:rsidRPr="000B2E61" w:rsidRDefault="004E74FE" w:rsidP="004E74FE">
      <w:pPr>
        <w:spacing w:line="180" w:lineRule="exact"/>
        <w:rPr>
          <w:rFonts w:ascii="Aptos" w:eastAsia="Times New Roman" w:hAnsi="Aptos" w:cs="Tahoma"/>
          <w:color w:val="44546A" w:themeColor="text2"/>
          <w:sz w:val="20"/>
          <w:szCs w:val="20"/>
        </w:rPr>
      </w:pPr>
    </w:p>
    <w:p w14:paraId="42B4ACCD" w14:textId="77777777" w:rsidR="004E74FE" w:rsidRPr="000B2E61" w:rsidRDefault="004E74FE" w:rsidP="004E74FE">
      <w:pPr>
        <w:ind w:right="5412"/>
        <w:jc w:val="both"/>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Basis for Qualified Opinion</w:t>
      </w:r>
    </w:p>
    <w:p w14:paraId="28561608" w14:textId="77777777" w:rsidR="004E74FE" w:rsidRPr="000B2E61" w:rsidRDefault="004E74FE" w:rsidP="004E74FE">
      <w:pPr>
        <w:spacing w:before="10" w:line="120" w:lineRule="exact"/>
        <w:rPr>
          <w:rFonts w:ascii="Aptos" w:eastAsia="Times New Roman" w:hAnsi="Aptos" w:cs="Tahoma"/>
          <w:color w:val="44546A" w:themeColor="text2"/>
          <w:sz w:val="20"/>
          <w:szCs w:val="20"/>
        </w:rPr>
      </w:pPr>
    </w:p>
    <w:p w14:paraId="0997F76B" w14:textId="77777777" w:rsidR="004E74FE" w:rsidRPr="000B2E61" w:rsidRDefault="004E74FE" w:rsidP="004E74FE">
      <w:pPr>
        <w:spacing w:line="250" w:lineRule="auto"/>
        <w:ind w:right="61"/>
        <w:jc w:val="both"/>
        <w:rPr>
          <w:rFonts w:ascii="Aptos" w:eastAsia="Times New Roman" w:hAnsi="Aptos" w:cs="Tahoma"/>
          <w:color w:val="44546A" w:themeColor="text2"/>
          <w:sz w:val="20"/>
          <w:szCs w:val="20"/>
        </w:rPr>
      </w:pPr>
      <w:bookmarkStart w:id="0" w:name="_Hlk527021183"/>
      <w:r w:rsidRPr="000B2E61">
        <w:rPr>
          <w:rFonts w:ascii="Aptos" w:eastAsia="Times New Roman" w:hAnsi="Aptos" w:cs="Tahoma"/>
          <w:color w:val="44546A" w:themeColor="text2"/>
          <w:sz w:val="20"/>
          <w:szCs w:val="20"/>
        </w:rPr>
        <w:t>The Ministry’s buildings are depreciated over a period of their useful life using a straight-line method. However, all parts of the buildings (i.e. say roof, windows and doors, floors, brick walls, etc.) that have significant cost as compared to the total costs of the buildings were depreciated together instead of depreciating separately, which constitutes a departure from IPSAS 17.  The extent of financial impact on the carrying amount of buildings in the Statement of Financial Position and the resultant effect on depreciation expenses in the statement of financial performance are currently not ascertainable.</w:t>
      </w:r>
    </w:p>
    <w:p w14:paraId="25FB746D" w14:textId="77777777" w:rsidR="004E74FE" w:rsidRPr="000B2E61" w:rsidRDefault="004E74FE" w:rsidP="004E74FE">
      <w:pPr>
        <w:spacing w:line="250" w:lineRule="auto"/>
        <w:ind w:right="61"/>
        <w:jc w:val="both"/>
        <w:rPr>
          <w:rFonts w:ascii="Aptos" w:eastAsia="Times New Roman" w:hAnsi="Aptos" w:cs="Tahoma"/>
          <w:color w:val="44546A" w:themeColor="text2"/>
          <w:sz w:val="20"/>
          <w:szCs w:val="20"/>
        </w:rPr>
      </w:pPr>
    </w:p>
    <w:p w14:paraId="3AAE480C" w14:textId="77777777" w:rsidR="004E74FE" w:rsidRPr="000B2E61" w:rsidRDefault="004E74FE" w:rsidP="004E74FE">
      <w:pPr>
        <w:spacing w:line="250" w:lineRule="auto"/>
        <w:ind w:right="61"/>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the ethical requirements that are relevant to our audit of the financial statements in [jurisdiction], and we have fulfilled our other ethical responsibilities in accordance with these requirements. We believe that the audit evidence we have obtained is sufficient and appropriate to provide a basis for our qualified opinion.</w:t>
      </w:r>
    </w:p>
    <w:bookmarkEnd w:id="0"/>
    <w:p w14:paraId="4B0ED504" w14:textId="77777777" w:rsidR="004E74FE" w:rsidRPr="000B2E61" w:rsidRDefault="004E74FE" w:rsidP="004E74FE">
      <w:pPr>
        <w:spacing w:line="180" w:lineRule="exact"/>
        <w:rPr>
          <w:rFonts w:ascii="Aptos" w:eastAsia="Times New Roman" w:hAnsi="Aptos" w:cs="Tahoma"/>
          <w:color w:val="44546A" w:themeColor="text2"/>
          <w:sz w:val="20"/>
          <w:szCs w:val="20"/>
        </w:rPr>
      </w:pPr>
    </w:p>
    <w:p w14:paraId="130EE06F" w14:textId="77777777" w:rsidR="004E74FE" w:rsidRPr="000B2E61" w:rsidRDefault="004E74FE" w:rsidP="004E74FE">
      <w:pPr>
        <w:ind w:right="95"/>
        <w:jc w:val="both"/>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Emphasis of Matter-Effects of a firm’s inability to complete the work</w:t>
      </w:r>
    </w:p>
    <w:p w14:paraId="3CC4BDF8" w14:textId="77777777" w:rsidR="004E74FE" w:rsidRPr="000B2E61" w:rsidRDefault="004E74FE" w:rsidP="004E74FE">
      <w:pPr>
        <w:ind w:right="5308"/>
        <w:jc w:val="both"/>
        <w:rPr>
          <w:rFonts w:ascii="Aptos" w:eastAsia="Times New Roman" w:hAnsi="Aptos" w:cs="Tahoma"/>
          <w:color w:val="44546A" w:themeColor="text2"/>
          <w:sz w:val="20"/>
          <w:szCs w:val="20"/>
        </w:rPr>
      </w:pPr>
    </w:p>
    <w:p w14:paraId="62B89D0C" w14:textId="77777777" w:rsidR="004E74FE" w:rsidRPr="000B2E61" w:rsidRDefault="004E74FE" w:rsidP="004E74FE">
      <w:pPr>
        <w:ind w:right="95"/>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We draw attention to Note X of the financial statements, which describes the effects of construction firm’s inability to complete the construction work of an office parking space and the garage. Our opinion is not modified in respect of this matter.</w:t>
      </w:r>
    </w:p>
    <w:p w14:paraId="5F6DB9E9" w14:textId="77777777" w:rsidR="004E74FE" w:rsidRPr="000B2E61" w:rsidRDefault="004E74FE" w:rsidP="004E74FE">
      <w:pPr>
        <w:ind w:right="5308"/>
        <w:jc w:val="both"/>
        <w:rPr>
          <w:rFonts w:ascii="Aptos" w:eastAsia="Times New Roman" w:hAnsi="Aptos" w:cs="Tahoma"/>
          <w:color w:val="44546A" w:themeColor="text2"/>
          <w:sz w:val="20"/>
          <w:szCs w:val="20"/>
        </w:rPr>
      </w:pPr>
    </w:p>
    <w:p w14:paraId="0F8216B5" w14:textId="77777777" w:rsidR="004E74FE" w:rsidRPr="000B2E61" w:rsidRDefault="004E74FE" w:rsidP="004E74FE">
      <w:pPr>
        <w:tabs>
          <w:tab w:val="left" w:pos="908"/>
        </w:tabs>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Responsibilities of Management and Those Charged with Governance for the Financial Statements</w:t>
      </w:r>
      <w:r w:rsidRPr="000B2E61">
        <w:rPr>
          <w:rFonts w:ascii="Aptos" w:hAnsi="Aptos" w:cs="Tahoma"/>
          <w:b/>
          <w:bCs/>
          <w:color w:val="44546A" w:themeColor="text2"/>
          <w:sz w:val="20"/>
          <w:szCs w:val="20"/>
        </w:rPr>
        <w:footnoteReference w:id="2"/>
      </w:r>
    </w:p>
    <w:p w14:paraId="0CADE949" w14:textId="77777777" w:rsidR="004E74FE" w:rsidRPr="000B2E61" w:rsidRDefault="004E74FE" w:rsidP="004E74FE">
      <w:pPr>
        <w:spacing w:before="10" w:line="120" w:lineRule="exact"/>
        <w:rPr>
          <w:rFonts w:ascii="Aptos" w:eastAsia="Times New Roman" w:hAnsi="Aptos" w:cs="Tahoma"/>
          <w:color w:val="44546A" w:themeColor="text2"/>
          <w:sz w:val="20"/>
          <w:szCs w:val="20"/>
        </w:rPr>
      </w:pPr>
    </w:p>
    <w:p w14:paraId="06DB4C98" w14:textId="77777777" w:rsidR="004E74FE" w:rsidRPr="000B2E61" w:rsidRDefault="004E74FE" w:rsidP="004E74FE">
      <w:pPr>
        <w:spacing w:line="248" w:lineRule="auto"/>
        <w:ind w:right="66"/>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Management is responsible for the preparation and fair presentation of the financial statements in accordance with IPSASs</w:t>
      </w:r>
      <w:r w:rsidRPr="000B2E61">
        <w:rPr>
          <w:rFonts w:ascii="Aptos" w:hAnsi="Aptos" w:cs="Tahoma"/>
          <w:color w:val="44546A" w:themeColor="text2"/>
          <w:sz w:val="20"/>
          <w:szCs w:val="20"/>
        </w:rPr>
        <w:footnoteReference w:id="3"/>
      </w:r>
      <w:r w:rsidRPr="000B2E61">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26162A1A" w14:textId="77777777" w:rsidR="004E74FE" w:rsidRPr="000B2E61" w:rsidRDefault="004E74FE" w:rsidP="004E74FE">
      <w:pPr>
        <w:spacing w:before="2" w:line="120" w:lineRule="exact"/>
        <w:rPr>
          <w:rFonts w:ascii="Aptos" w:eastAsia="Times New Roman" w:hAnsi="Aptos" w:cs="Tahoma"/>
          <w:color w:val="44546A" w:themeColor="text2"/>
          <w:sz w:val="20"/>
          <w:szCs w:val="20"/>
        </w:rPr>
      </w:pPr>
    </w:p>
    <w:p w14:paraId="3B59FAD7" w14:textId="77777777" w:rsidR="004E74FE" w:rsidRPr="000B2E61" w:rsidRDefault="004E74FE" w:rsidP="004E74FE">
      <w:pPr>
        <w:spacing w:line="250" w:lineRule="auto"/>
        <w:ind w:right="65"/>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 (only if relevant to an audit of government ministry).</w:t>
      </w:r>
    </w:p>
    <w:p w14:paraId="05F8EA51" w14:textId="77777777" w:rsidR="004E74FE" w:rsidRPr="000B2E61" w:rsidRDefault="004E74FE" w:rsidP="004E74FE">
      <w:pPr>
        <w:spacing w:line="120" w:lineRule="exact"/>
        <w:rPr>
          <w:rFonts w:ascii="Aptos" w:eastAsia="Times New Roman" w:hAnsi="Aptos" w:cs="Tahoma"/>
          <w:color w:val="44546A" w:themeColor="text2"/>
          <w:sz w:val="20"/>
          <w:szCs w:val="20"/>
        </w:rPr>
      </w:pPr>
    </w:p>
    <w:p w14:paraId="3941E198" w14:textId="77777777" w:rsidR="004E74FE" w:rsidRPr="000B2E61" w:rsidRDefault="004E74FE" w:rsidP="004E74FE">
      <w:pPr>
        <w:spacing w:line="250" w:lineRule="auto"/>
        <w:ind w:right="67"/>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lastRenderedPageBreak/>
        <w:t>Those charged with governance are responsible for overseeing the Ministry’s financial reporting process.</w:t>
      </w:r>
    </w:p>
    <w:p w14:paraId="2F785897" w14:textId="77777777" w:rsidR="004E74FE" w:rsidRPr="000B2E61" w:rsidRDefault="004E74FE" w:rsidP="004E74FE">
      <w:pPr>
        <w:spacing w:line="180" w:lineRule="exact"/>
        <w:rPr>
          <w:rFonts w:ascii="Aptos" w:eastAsia="Times New Roman" w:hAnsi="Aptos" w:cs="Tahoma"/>
          <w:color w:val="44546A" w:themeColor="text2"/>
          <w:sz w:val="20"/>
          <w:szCs w:val="20"/>
        </w:rPr>
      </w:pPr>
    </w:p>
    <w:p w14:paraId="36EB6090" w14:textId="77777777" w:rsidR="004E74FE" w:rsidRPr="000B2E61" w:rsidRDefault="004E74FE" w:rsidP="004E74FE">
      <w:pPr>
        <w:ind w:right="1186"/>
        <w:jc w:val="both"/>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Auditor’s Responsibilities for the Audit of the Financial Statements</w:t>
      </w:r>
    </w:p>
    <w:p w14:paraId="7EE447A1" w14:textId="77777777" w:rsidR="004E74FE" w:rsidRPr="000B2E61" w:rsidRDefault="004E74FE" w:rsidP="004E74FE">
      <w:pPr>
        <w:spacing w:line="130" w:lineRule="exact"/>
        <w:rPr>
          <w:rFonts w:ascii="Aptos" w:eastAsia="Times New Roman" w:hAnsi="Aptos" w:cs="Tahoma"/>
          <w:color w:val="44546A" w:themeColor="text2"/>
          <w:sz w:val="20"/>
          <w:szCs w:val="20"/>
        </w:rPr>
      </w:pPr>
    </w:p>
    <w:p w14:paraId="169CEB18" w14:textId="77777777" w:rsidR="004E74FE" w:rsidRPr="000B2E61" w:rsidRDefault="004E74FE" w:rsidP="004E74FE">
      <w:pPr>
        <w:spacing w:line="250" w:lineRule="auto"/>
        <w:ind w:right="64"/>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1CF3B816" w14:textId="77777777" w:rsidR="004E74FE" w:rsidRDefault="004E74FE" w:rsidP="004E74FE">
      <w:pPr>
        <w:spacing w:after="120"/>
        <w:ind w:left="120" w:right="64"/>
        <w:jc w:val="both"/>
        <w:rPr>
          <w:rFonts w:eastAsia="Times New Roman" w:cstheme="minorHAnsi"/>
          <w:sz w:val="21"/>
          <w:szCs w:val="21"/>
        </w:rPr>
      </w:pPr>
    </w:p>
    <w:tbl>
      <w:tblPr>
        <w:tblStyle w:val="TableGrid"/>
        <w:tblW w:w="0" w:type="auto"/>
        <w:tblInd w:w="120" w:type="dxa"/>
        <w:shd w:val="clear" w:color="auto" w:fill="DBDBDB" w:themeFill="accent3" w:themeFillTint="66"/>
        <w:tblLook w:val="04A0" w:firstRow="1" w:lastRow="0" w:firstColumn="1" w:lastColumn="0" w:noHBand="0" w:noVBand="1"/>
      </w:tblPr>
      <w:tblGrid>
        <w:gridCol w:w="9595"/>
      </w:tblGrid>
      <w:tr w:rsidR="004E74FE" w:rsidRPr="00D7751D" w14:paraId="2D696D9E" w14:textId="77777777" w:rsidTr="00173A20">
        <w:tc>
          <w:tcPr>
            <w:tcW w:w="9595" w:type="dxa"/>
            <w:shd w:val="clear" w:color="auto" w:fill="DBDBDB" w:themeFill="accent3" w:themeFillTint="66"/>
          </w:tcPr>
          <w:p w14:paraId="4CE9D897" w14:textId="77777777" w:rsidR="004E74FE" w:rsidRPr="000B2E61" w:rsidRDefault="004E74FE" w:rsidP="00AF5F47">
            <w:pPr>
              <w:spacing w:after="120"/>
              <w:ind w:left="120" w:right="68"/>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Paragraph 41(b) of ISSAI explains that the shaded material below can be located in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42270653" w14:textId="77777777" w:rsidR="004E74FE" w:rsidRPr="000B2E61" w:rsidRDefault="004E74FE" w:rsidP="00AF5F47">
            <w:pPr>
              <w:spacing w:after="120"/>
              <w:ind w:left="120" w:right="69"/>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As part of an audit in accordance with ISSAIs, we exercise professional judgment and maintain professional scepticism throughout the audit. We also:</w:t>
            </w:r>
          </w:p>
          <w:p w14:paraId="6E2A8673" w14:textId="77777777" w:rsidR="004E74FE" w:rsidRPr="000B2E61" w:rsidRDefault="004E74FE"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w:t>
            </w:r>
            <w:r w:rsidRPr="000B2E61">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7074E3FC" w14:textId="77777777" w:rsidR="004E74FE" w:rsidRPr="000B2E61" w:rsidRDefault="004E74FE"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w:t>
            </w:r>
            <w:r w:rsidRPr="000B2E61">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Ministry’s internal control</w:t>
            </w:r>
            <w:r w:rsidRPr="000B2E61">
              <w:rPr>
                <w:rFonts w:ascii="Aptos" w:hAnsi="Aptos" w:cs="Tahoma"/>
                <w:color w:val="44546A" w:themeColor="text2"/>
                <w:lang w:val="en-GB"/>
              </w:rPr>
              <w:footnoteReference w:id="4"/>
            </w:r>
            <w:r w:rsidRPr="000B2E61">
              <w:rPr>
                <w:rFonts w:ascii="Aptos" w:eastAsia="Times New Roman" w:hAnsi="Aptos" w:cs="Tahoma"/>
                <w:color w:val="44546A" w:themeColor="text2"/>
                <w:sz w:val="20"/>
                <w:szCs w:val="20"/>
                <w:lang w:val="en-GB"/>
              </w:rPr>
              <w:t>.</w:t>
            </w:r>
          </w:p>
          <w:p w14:paraId="4F5B1E47" w14:textId="77777777" w:rsidR="004E74FE" w:rsidRPr="000B2E61" w:rsidRDefault="004E74FE"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w:t>
            </w:r>
            <w:r w:rsidRPr="000B2E61">
              <w:rPr>
                <w:rFonts w:ascii="Aptos" w:eastAsia="Times New Roman" w:hAnsi="Aptos" w:cs="Tahoma"/>
                <w:color w:val="44546A" w:themeColor="text2"/>
                <w:sz w:val="20"/>
                <w:szCs w:val="20"/>
                <w:lang w:val="en-GB"/>
              </w:rPr>
              <w:tab/>
              <w:t>Evaluate   the   appropriateness   of   accounting   policies   used   and   the reasonableness of accounting estimates and related disclosures made by management.</w:t>
            </w:r>
          </w:p>
          <w:p w14:paraId="75A55AA3" w14:textId="7FBCEBC1" w:rsidR="004E74FE" w:rsidRPr="00E51A38" w:rsidRDefault="004E74FE" w:rsidP="00AF5F47">
            <w:pPr>
              <w:tabs>
                <w:tab w:val="left" w:pos="640"/>
              </w:tabs>
              <w:spacing w:after="120"/>
              <w:ind w:left="640" w:right="64" w:hanging="540"/>
              <w:jc w:val="both"/>
              <w:rPr>
                <w:rFonts w:eastAsia="Times New Roman" w:cstheme="minorHAnsi"/>
                <w:color w:val="0070C0"/>
                <w:sz w:val="20"/>
                <w:szCs w:val="20"/>
              </w:rPr>
            </w:pPr>
            <w:r w:rsidRPr="000B2E61">
              <w:rPr>
                <w:rFonts w:ascii="Aptos" w:eastAsia="Times New Roman" w:hAnsi="Aptos" w:cs="Tahoma"/>
                <w:color w:val="44546A" w:themeColor="text2"/>
                <w:sz w:val="20"/>
                <w:szCs w:val="20"/>
                <w:lang w:val="en-GB"/>
              </w:rPr>
              <w:t>•</w:t>
            </w:r>
            <w:r w:rsidRPr="000B2E61">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Ministry to cease to continue as a going concern (</w:t>
            </w:r>
            <w:r w:rsidRPr="00740208">
              <w:rPr>
                <w:rFonts w:ascii="Aptos" w:eastAsia="Times New Roman" w:hAnsi="Aptos" w:cs="Tahoma"/>
                <w:b/>
                <w:bCs/>
                <w:color w:val="45BFF2"/>
                <w:kern w:val="2"/>
                <w:sz w:val="20"/>
                <w:szCs w:val="20"/>
                <w14:ligatures w14:val="standardContextual"/>
              </w:rPr>
              <w:t xml:space="preserve">To adapt accordingly – the going concern concept may not be relevant to an audit of Ministry. Paragraph A2 of ISSAI </w:t>
            </w:r>
            <w:r w:rsidR="00D76DFD" w:rsidRPr="00740208">
              <w:rPr>
                <w:rFonts w:ascii="Aptos" w:eastAsia="Times New Roman" w:hAnsi="Aptos" w:cs="Tahoma"/>
                <w:b/>
                <w:bCs/>
                <w:color w:val="45BFF2"/>
                <w:kern w:val="2"/>
                <w:sz w:val="20"/>
                <w:szCs w:val="20"/>
                <w14:ligatures w14:val="standardContextual"/>
              </w:rPr>
              <w:t>2</w:t>
            </w:r>
            <w:r w:rsidRPr="00740208">
              <w:rPr>
                <w:rFonts w:ascii="Aptos" w:eastAsia="Times New Roman" w:hAnsi="Aptos" w:cs="Tahoma"/>
                <w:b/>
                <w:bCs/>
                <w:color w:val="45BFF2"/>
                <w:kern w:val="2"/>
                <w:sz w:val="20"/>
                <w:szCs w:val="20"/>
                <w14:ligatures w14:val="standardContextual"/>
              </w:rPr>
              <w:t xml:space="preserve">570 on considerations Specific to Public Sector Entities states going concern risk may arise, but are not limited to, situations where public sector entities operate on a for-profit basis, where the government support may be reduced or withdrawn, or in the case of privatization). </w:t>
            </w:r>
          </w:p>
          <w:p w14:paraId="63931F0A" w14:textId="77777777" w:rsidR="004E74FE" w:rsidRPr="000B2E61" w:rsidRDefault="004E74FE" w:rsidP="00AF5F47">
            <w:pPr>
              <w:tabs>
                <w:tab w:val="left" w:pos="640"/>
              </w:tabs>
              <w:spacing w:after="120"/>
              <w:ind w:left="640" w:right="67" w:hanging="540"/>
              <w:jc w:val="both"/>
              <w:rPr>
                <w:rFonts w:ascii="Aptos" w:eastAsia="Times New Roman" w:hAnsi="Aptos" w:cs="Tahoma"/>
                <w:color w:val="44546A" w:themeColor="text2"/>
                <w:sz w:val="20"/>
                <w:szCs w:val="20"/>
                <w:lang w:val="en-GB"/>
              </w:rPr>
            </w:pPr>
            <w:r w:rsidRPr="00D7751D">
              <w:rPr>
                <w:rFonts w:eastAsia="Times New Roman" w:cstheme="minorHAnsi"/>
                <w:w w:val="130"/>
                <w:sz w:val="20"/>
                <w:szCs w:val="20"/>
              </w:rPr>
              <w:t>•</w:t>
            </w:r>
            <w:r w:rsidRPr="00D7751D">
              <w:rPr>
                <w:rFonts w:eastAsia="Times New Roman" w:cstheme="minorHAnsi"/>
                <w:sz w:val="20"/>
                <w:szCs w:val="20"/>
              </w:rPr>
              <w:tab/>
            </w:r>
            <w:r w:rsidRPr="000B2E61">
              <w:rPr>
                <w:rFonts w:ascii="Aptos" w:eastAsia="Times New Roman" w:hAnsi="Aptos" w:cs="Tahoma"/>
                <w:color w:val="44546A" w:themeColor="text2"/>
                <w:sz w:val="20"/>
                <w:szCs w:val="20"/>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1E1ABE58" w14:textId="77777777" w:rsidR="004E74FE" w:rsidRPr="000B2E61" w:rsidRDefault="004E74FE" w:rsidP="00AF5F47">
            <w:pPr>
              <w:spacing w:after="120"/>
              <w:ind w:left="100" w:right="60"/>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0304E52D" w14:textId="77777777" w:rsidR="004E74FE" w:rsidRPr="000B2E61" w:rsidRDefault="004E74FE" w:rsidP="00AF5F47">
            <w:pPr>
              <w:spacing w:after="120"/>
              <w:ind w:left="100" w:right="61"/>
              <w:jc w:val="both"/>
              <w:rPr>
                <w:rFonts w:ascii="Aptos" w:eastAsia="Times New Roman" w:hAnsi="Aptos" w:cs="Tahoma"/>
                <w:color w:val="44546A" w:themeColor="text2"/>
                <w:sz w:val="20"/>
                <w:szCs w:val="20"/>
                <w:lang w:val="en-GB"/>
              </w:rPr>
            </w:pPr>
            <w:r w:rsidRPr="000B2E61">
              <w:rPr>
                <w:rFonts w:ascii="Aptos" w:eastAsia="Times New Roman" w:hAnsi="Aptos" w:cs="Tahoma"/>
                <w:color w:val="44546A" w:themeColor="text2"/>
                <w:sz w:val="20"/>
                <w:szCs w:val="20"/>
                <w:lang w:val="en-GB"/>
              </w:rPr>
              <w:lastRenderedPageBreak/>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6DD8B374" w14:textId="77777777" w:rsidR="004E74FE" w:rsidRPr="00D7751D" w:rsidRDefault="004E74FE" w:rsidP="00AF5F47">
            <w:pPr>
              <w:spacing w:after="120"/>
              <w:ind w:left="111" w:right="50"/>
              <w:jc w:val="both"/>
              <w:rPr>
                <w:rFonts w:eastAsia="Times New Roman" w:cstheme="minorHAnsi"/>
                <w:sz w:val="20"/>
                <w:szCs w:val="20"/>
              </w:rPr>
            </w:pPr>
            <w:r w:rsidRPr="000B2E61">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409F1659" w14:textId="77777777" w:rsidR="004E74FE" w:rsidRPr="000B2E61" w:rsidRDefault="004E74FE" w:rsidP="004E74FE">
      <w:pPr>
        <w:spacing w:line="250" w:lineRule="auto"/>
        <w:ind w:left="120" w:right="64"/>
        <w:jc w:val="both"/>
        <w:rPr>
          <w:rFonts w:ascii="Aptos" w:eastAsia="Times New Roman" w:hAnsi="Aptos" w:cs="Tahoma"/>
          <w:color w:val="44546A" w:themeColor="text2"/>
          <w:sz w:val="20"/>
          <w:szCs w:val="20"/>
        </w:rPr>
      </w:pPr>
    </w:p>
    <w:p w14:paraId="322926E7" w14:textId="77777777" w:rsidR="004E74FE" w:rsidRPr="000B2E61" w:rsidRDefault="004E74FE" w:rsidP="004E74FE">
      <w:pPr>
        <w:ind w:right="1433"/>
        <w:jc w:val="both"/>
        <w:rPr>
          <w:rFonts w:ascii="Aptos" w:eastAsia="Times New Roman" w:hAnsi="Aptos" w:cs="Tahoma"/>
          <w:b/>
          <w:bCs/>
          <w:color w:val="44546A" w:themeColor="text2"/>
          <w:sz w:val="20"/>
          <w:szCs w:val="20"/>
        </w:rPr>
      </w:pPr>
      <w:r w:rsidRPr="000B2E61">
        <w:rPr>
          <w:rFonts w:ascii="Aptos" w:eastAsia="Times New Roman" w:hAnsi="Aptos" w:cs="Tahoma"/>
          <w:b/>
          <w:bCs/>
          <w:color w:val="44546A" w:themeColor="text2"/>
          <w:sz w:val="20"/>
          <w:szCs w:val="20"/>
        </w:rPr>
        <w:t>Report on Other Legal and Regulatory Requirements</w:t>
      </w:r>
    </w:p>
    <w:p w14:paraId="6FC64C33" w14:textId="77777777" w:rsidR="004E74FE" w:rsidRPr="000B2E61" w:rsidRDefault="004E74FE" w:rsidP="004E74FE">
      <w:pPr>
        <w:spacing w:before="1" w:line="120" w:lineRule="exact"/>
        <w:rPr>
          <w:rFonts w:ascii="Aptos" w:eastAsia="Times New Roman" w:hAnsi="Aptos" w:cs="Tahoma"/>
          <w:color w:val="44546A" w:themeColor="text2"/>
          <w:sz w:val="20"/>
          <w:szCs w:val="20"/>
        </w:rPr>
      </w:pPr>
    </w:p>
    <w:p w14:paraId="25662A07" w14:textId="77777777" w:rsidR="004E74FE" w:rsidRPr="000B2E61" w:rsidRDefault="004E74FE" w:rsidP="004E74FE">
      <w:pPr>
        <w:spacing w:line="250" w:lineRule="auto"/>
        <w:ind w:right="80"/>
        <w:jc w:val="both"/>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5B671ECA" w14:textId="77777777" w:rsidR="004E74FE" w:rsidRPr="000B2E61" w:rsidRDefault="004E74FE" w:rsidP="004E74FE">
      <w:pPr>
        <w:spacing w:line="120" w:lineRule="exact"/>
        <w:rPr>
          <w:rFonts w:ascii="Aptos" w:eastAsia="Times New Roman" w:hAnsi="Aptos" w:cs="Tahoma"/>
          <w:color w:val="44546A" w:themeColor="text2"/>
          <w:sz w:val="20"/>
          <w:szCs w:val="20"/>
        </w:rPr>
      </w:pPr>
    </w:p>
    <w:p w14:paraId="1E1519D4" w14:textId="77777777" w:rsidR="004E74FE" w:rsidRPr="000B2E61" w:rsidRDefault="004E74FE" w:rsidP="004E74FE">
      <w:pPr>
        <w:spacing w:before="10" w:line="120" w:lineRule="exact"/>
        <w:rPr>
          <w:rFonts w:ascii="Aptos" w:eastAsia="Times New Roman" w:hAnsi="Aptos" w:cs="Tahoma"/>
          <w:color w:val="44546A" w:themeColor="text2"/>
          <w:sz w:val="20"/>
          <w:szCs w:val="20"/>
        </w:rPr>
      </w:pPr>
    </w:p>
    <w:p w14:paraId="2A8CA9D1" w14:textId="77777777" w:rsidR="004E74FE" w:rsidRPr="000B2E61" w:rsidRDefault="004E74FE" w:rsidP="004E74FE">
      <w:pPr>
        <w:spacing w:line="250" w:lineRule="auto"/>
        <w:ind w:right="81"/>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715B7B8F" w14:textId="77777777" w:rsidR="004E74FE" w:rsidRPr="000B2E61" w:rsidRDefault="004E74FE" w:rsidP="004E74FE">
      <w:pPr>
        <w:spacing w:line="120" w:lineRule="exact"/>
        <w:rPr>
          <w:rFonts w:ascii="Aptos" w:eastAsia="Times New Roman" w:hAnsi="Aptos" w:cs="Tahoma"/>
          <w:color w:val="44546A" w:themeColor="text2"/>
          <w:sz w:val="20"/>
          <w:szCs w:val="20"/>
        </w:rPr>
      </w:pPr>
    </w:p>
    <w:p w14:paraId="5DA00579" w14:textId="77777777" w:rsidR="004E74FE" w:rsidRPr="000B2E61" w:rsidRDefault="004E74FE" w:rsidP="004E74FE">
      <w:pPr>
        <w:spacing w:line="375" w:lineRule="auto"/>
        <w:ind w:right="5489"/>
        <w:rPr>
          <w:rFonts w:ascii="Aptos" w:eastAsia="Times New Roman" w:hAnsi="Aptos" w:cs="Tahoma"/>
          <w:color w:val="44546A" w:themeColor="text2"/>
          <w:sz w:val="20"/>
          <w:szCs w:val="20"/>
        </w:rPr>
      </w:pPr>
      <w:r w:rsidRPr="000B2E61">
        <w:rPr>
          <w:rFonts w:ascii="Aptos" w:eastAsia="Times New Roman" w:hAnsi="Aptos" w:cs="Tahoma"/>
          <w:color w:val="44546A" w:themeColor="text2"/>
          <w:sz w:val="20"/>
          <w:szCs w:val="20"/>
        </w:rPr>
        <w:t>[SAI Address] [Date]</w:t>
      </w:r>
    </w:p>
    <w:p w14:paraId="5EFEDBC8" w14:textId="77777777" w:rsidR="004E74FE" w:rsidRPr="007C4BAB" w:rsidRDefault="004E74FE" w:rsidP="004E74FE">
      <w:pPr>
        <w:rPr>
          <w:rFonts w:cstheme="minorHAnsi"/>
          <w:sz w:val="21"/>
          <w:szCs w:val="21"/>
        </w:rPr>
      </w:pPr>
    </w:p>
    <w:p w14:paraId="724265EA" w14:textId="77777777" w:rsidR="00F20015" w:rsidRDefault="00F20015"/>
    <w:sectPr w:rsidR="00F20015" w:rsidSect="00DC19F2">
      <w:head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5EA4A" w14:textId="77777777" w:rsidR="00361042" w:rsidRDefault="00361042" w:rsidP="004E74FE">
      <w:r>
        <w:separator/>
      </w:r>
    </w:p>
  </w:endnote>
  <w:endnote w:type="continuationSeparator" w:id="0">
    <w:p w14:paraId="2484BA80" w14:textId="77777777" w:rsidR="00361042" w:rsidRDefault="00361042" w:rsidP="004E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2EB15" w14:textId="22DD061E" w:rsidR="004E74FE" w:rsidRPr="00173A20" w:rsidRDefault="00000000" w:rsidP="00173A20">
    <w:pPr>
      <w:pStyle w:val="Footer"/>
      <w:jc w:val="right"/>
      <w:rPr>
        <w:rFonts w:ascii="Oswald" w:hAnsi="Oswald"/>
        <w:sz w:val="21"/>
        <w:szCs w:val="21"/>
      </w:rPr>
    </w:pPr>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r w:rsidR="005453BF" w:rsidRPr="00F14657">
          <w:rPr>
            <w:rStyle w:val="PageNumber"/>
            <w:rFonts w:ascii="Arial Narrow" w:hAnsi="Arial Narrow"/>
            <w:sz w:val="21"/>
            <w:szCs w:val="21"/>
          </w:rPr>
          <w:t xml:space="preserve">Financial Audit </w:t>
        </w:r>
        <w:r w:rsidR="005453BF">
          <w:rPr>
            <w:rStyle w:val="PageNumber"/>
            <w:rFonts w:ascii="Arial Narrow" w:hAnsi="Arial Narrow"/>
            <w:sz w:val="21"/>
            <w:szCs w:val="21"/>
          </w:rPr>
          <w:t>Appendix 8.9</w:t>
        </w:r>
        <w:r w:rsidR="00173A20">
          <w:rPr>
            <w:rStyle w:val="PageNumber"/>
            <w:rFonts w:ascii="Arial Narrow" w:hAnsi="Arial Narrow"/>
            <w:sz w:val="21"/>
            <w:szCs w:val="21"/>
          </w:rPr>
          <w:t xml:space="preserve"> </w:t>
        </w:r>
        <w:r w:rsidR="000B2E61" w:rsidRPr="002745DB">
          <w:rPr>
            <w:rStyle w:val="PageNumber"/>
            <w:rFonts w:ascii="Oswald" w:hAnsi="Oswald"/>
            <w:color w:val="000000" w:themeColor="text1"/>
            <w:sz w:val="21"/>
            <w:szCs w:val="21"/>
          </w:rPr>
          <w:t xml:space="preserve">| </w:t>
        </w:r>
        <w:r w:rsidR="000B2E61" w:rsidRPr="002745DB">
          <w:rPr>
            <w:rStyle w:val="PageNumber"/>
            <w:rFonts w:ascii="Oswald" w:hAnsi="Oswald"/>
            <w:b/>
            <w:bCs/>
            <w:color w:val="000000" w:themeColor="text1"/>
            <w:sz w:val="21"/>
            <w:szCs w:val="21"/>
          </w:rPr>
          <w:fldChar w:fldCharType="begin"/>
        </w:r>
        <w:r w:rsidR="000B2E61" w:rsidRPr="002745DB">
          <w:rPr>
            <w:rStyle w:val="PageNumber"/>
            <w:rFonts w:ascii="Oswald" w:hAnsi="Oswald"/>
            <w:b/>
            <w:bCs/>
            <w:color w:val="000000" w:themeColor="text1"/>
            <w:sz w:val="21"/>
            <w:szCs w:val="21"/>
          </w:rPr>
          <w:instrText xml:space="preserve"> PAGE </w:instrText>
        </w:r>
        <w:r w:rsidR="000B2E61" w:rsidRPr="002745DB">
          <w:rPr>
            <w:rStyle w:val="PageNumber"/>
            <w:rFonts w:ascii="Oswald" w:hAnsi="Oswald"/>
            <w:b/>
            <w:bCs/>
            <w:color w:val="000000" w:themeColor="text1"/>
            <w:sz w:val="21"/>
            <w:szCs w:val="21"/>
          </w:rPr>
          <w:fldChar w:fldCharType="separate"/>
        </w:r>
        <w:r w:rsidR="000B2E61">
          <w:rPr>
            <w:rStyle w:val="PageNumber"/>
            <w:rFonts w:ascii="Oswald" w:hAnsi="Oswald"/>
            <w:b/>
            <w:bCs/>
            <w:color w:val="000000" w:themeColor="text1"/>
            <w:sz w:val="21"/>
            <w:szCs w:val="21"/>
          </w:rPr>
          <w:t>1</w:t>
        </w:r>
        <w:r w:rsidR="000B2E61" w:rsidRPr="002745DB">
          <w:rPr>
            <w:rStyle w:val="PageNumber"/>
            <w:rFonts w:ascii="Oswald" w:hAnsi="Oswald"/>
            <w:b/>
            <w:bCs/>
            <w:color w:val="000000" w:themeColor="text1"/>
            <w:sz w:val="21"/>
            <w:szCs w:val="21"/>
          </w:rPr>
          <w:fldChar w:fldCharType="end"/>
        </w:r>
      </w:sdtContent>
    </w:sdt>
    <w:r w:rsidR="00DC19F2">
      <w:rPr>
        <w:noProof/>
      </w:rPr>
      <w:drawing>
        <wp:anchor distT="0" distB="0" distL="114300" distR="114300" simplePos="0" relativeHeight="251665408" behindDoc="1" locked="0" layoutInCell="1" allowOverlap="1" wp14:anchorId="0758714F" wp14:editId="1F2447AB">
          <wp:simplePos x="0" y="0"/>
          <wp:positionH relativeFrom="column">
            <wp:posOffset>5803041</wp:posOffset>
          </wp:positionH>
          <wp:positionV relativeFrom="paragraph">
            <wp:posOffset>592530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0ADC1" w14:textId="77777777" w:rsidR="00361042" w:rsidRDefault="00361042" w:rsidP="004E74FE">
      <w:r>
        <w:separator/>
      </w:r>
    </w:p>
  </w:footnote>
  <w:footnote w:type="continuationSeparator" w:id="0">
    <w:p w14:paraId="036FBCFE" w14:textId="77777777" w:rsidR="00361042" w:rsidRDefault="00361042" w:rsidP="004E74FE">
      <w:r>
        <w:continuationSeparator/>
      </w:r>
    </w:p>
  </w:footnote>
  <w:footnote w:id="1">
    <w:p w14:paraId="4B155AC3" w14:textId="77777777" w:rsidR="004E74FE" w:rsidRPr="00053CC9" w:rsidRDefault="004E74FE" w:rsidP="004E74FE">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2">
    <w:p w14:paraId="0D47C462" w14:textId="77777777" w:rsidR="004E74FE" w:rsidRPr="005C4AB5" w:rsidRDefault="004E74FE" w:rsidP="004E74FE">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these</w:t>
      </w:r>
      <w:r w:rsidRPr="005C4AB5">
        <w:rPr>
          <w:rFonts w:eastAsia="Times New Roman" w:cstheme="minorHAnsi"/>
          <w:sz w:val="18"/>
          <w:szCs w:val="18"/>
        </w:rPr>
        <w:t xml:space="preserve"> </w:t>
      </w:r>
      <w:r w:rsidRPr="005C4AB5">
        <w:rPr>
          <w:rFonts w:eastAsia="Times New Roman" w:cstheme="minorHAnsi"/>
          <w:spacing w:val="5"/>
          <w:sz w:val="18"/>
          <w:szCs w:val="18"/>
        </w:rPr>
        <w:t>illustrative</w:t>
      </w:r>
      <w:r w:rsidRPr="005C4AB5">
        <w:rPr>
          <w:rFonts w:eastAsia="Times New Roman" w:cstheme="minorHAnsi"/>
          <w:sz w:val="18"/>
          <w:szCs w:val="18"/>
        </w:rPr>
        <w:t xml:space="preserv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3">
    <w:p w14:paraId="15459967" w14:textId="77777777" w:rsidR="004E74FE" w:rsidRPr="00066E52" w:rsidRDefault="004E74FE" w:rsidP="004E74FE">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4">
    <w:p w14:paraId="2A1AC7EE" w14:textId="77777777" w:rsidR="004E74FE" w:rsidRPr="007C4BAB" w:rsidRDefault="004E74FE" w:rsidP="004E74FE">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6074C230" w14:textId="77777777" w:rsidR="004E74FE" w:rsidRPr="005C1FD0" w:rsidRDefault="004E74FE" w:rsidP="004E74F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FBC8D" w14:textId="657CCA5B" w:rsidR="000B2E61" w:rsidRDefault="00DC19F2">
    <w:pPr>
      <w:pStyle w:val="Header"/>
    </w:pPr>
    <w:r>
      <w:rPr>
        <w:noProof/>
      </w:rPr>
      <w:drawing>
        <wp:anchor distT="0" distB="0" distL="114300" distR="114300" simplePos="0" relativeHeight="251667456" behindDoc="1" locked="0" layoutInCell="1" allowOverlap="1" wp14:anchorId="7F6BE065" wp14:editId="2313455B">
          <wp:simplePos x="0" y="0"/>
          <wp:positionH relativeFrom="column">
            <wp:posOffset>5798752</wp:posOffset>
          </wp:positionH>
          <wp:positionV relativeFrom="paragraph">
            <wp:posOffset>-247276</wp:posOffset>
          </wp:positionV>
          <wp:extent cx="1041400" cy="1125631"/>
          <wp:effectExtent l="0" t="0" r="0" b="0"/>
          <wp:wrapNone/>
          <wp:docPr id="1603117145"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721A81DF" wp14:editId="4E0CC49C">
          <wp:simplePos x="0" y="0"/>
          <wp:positionH relativeFrom="column">
            <wp:posOffset>2540</wp:posOffset>
          </wp:positionH>
          <wp:positionV relativeFrom="paragraph">
            <wp:posOffset>25400</wp:posOffset>
          </wp:positionV>
          <wp:extent cx="1194099" cy="558067"/>
          <wp:effectExtent l="0" t="0" r="0" b="1270"/>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194099" cy="55806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DA802" w14:textId="7C80EC9E" w:rsidR="00173A20" w:rsidRDefault="00173A20">
    <w:pPr>
      <w:pStyle w:val="Header"/>
    </w:pPr>
    <w:r>
      <w:rPr>
        <w:noProof/>
      </w:rPr>
      <w:drawing>
        <wp:anchor distT="0" distB="0" distL="114300" distR="114300" simplePos="0" relativeHeight="251670528" behindDoc="1" locked="0" layoutInCell="1" allowOverlap="1" wp14:anchorId="77231DC7" wp14:editId="30E58D8C">
          <wp:simplePos x="0" y="0"/>
          <wp:positionH relativeFrom="column">
            <wp:posOffset>5798565</wp:posOffset>
          </wp:positionH>
          <wp:positionV relativeFrom="paragraph">
            <wp:posOffset>-440653</wp:posOffset>
          </wp:positionV>
          <wp:extent cx="1041400" cy="1125631"/>
          <wp:effectExtent l="0" t="0" r="0" b="0"/>
          <wp:wrapNone/>
          <wp:docPr id="1108803741"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1" allowOverlap="1" wp14:anchorId="6F678236" wp14:editId="047E8115">
          <wp:simplePos x="0" y="0"/>
          <wp:positionH relativeFrom="column">
            <wp:posOffset>2540</wp:posOffset>
          </wp:positionH>
          <wp:positionV relativeFrom="paragraph">
            <wp:posOffset>-243541</wp:posOffset>
          </wp:positionV>
          <wp:extent cx="1194099" cy="558067"/>
          <wp:effectExtent l="0" t="0" r="0" b="1270"/>
          <wp:wrapNone/>
          <wp:docPr id="69870214"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194099" cy="55806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61CF8"/>
    <w:multiLevelType w:val="hybridMultilevel"/>
    <w:tmpl w:val="1306417A"/>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 w15:restartNumberingAfterBreak="0">
    <w:nsid w:val="2260081B"/>
    <w:multiLevelType w:val="hybridMultilevel"/>
    <w:tmpl w:val="3E022C22"/>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1813674879">
    <w:abstractNumId w:val="1"/>
  </w:num>
  <w:num w:numId="2" w16cid:durableId="41228884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FE"/>
    <w:rsid w:val="000B2E61"/>
    <w:rsid w:val="00173A20"/>
    <w:rsid w:val="0031034B"/>
    <w:rsid w:val="0033414A"/>
    <w:rsid w:val="00361042"/>
    <w:rsid w:val="00392291"/>
    <w:rsid w:val="00420794"/>
    <w:rsid w:val="00480631"/>
    <w:rsid w:val="004E74FE"/>
    <w:rsid w:val="005453BF"/>
    <w:rsid w:val="006159C3"/>
    <w:rsid w:val="00740208"/>
    <w:rsid w:val="007E248B"/>
    <w:rsid w:val="009D0D9F"/>
    <w:rsid w:val="009F24C2"/>
    <w:rsid w:val="00B46292"/>
    <w:rsid w:val="00B87E16"/>
    <w:rsid w:val="00BB47D0"/>
    <w:rsid w:val="00CB06B1"/>
    <w:rsid w:val="00CC4AA7"/>
    <w:rsid w:val="00D76DFD"/>
    <w:rsid w:val="00DC19F2"/>
    <w:rsid w:val="00DF4B68"/>
    <w:rsid w:val="00F20015"/>
    <w:rsid w:val="00FE27E8"/>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9CC5"/>
  <w15:chartTrackingRefBased/>
  <w15:docId w15:val="{194087DF-62BD-4FEA-B87E-08E329E12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4FE"/>
    <w:pPr>
      <w:spacing w:after="0" w:line="240" w:lineRule="auto"/>
    </w:pPr>
    <w:rPr>
      <w:sz w:val="24"/>
      <w:szCs w:val="24"/>
    </w:rPr>
  </w:style>
  <w:style w:type="paragraph" w:styleId="Heading1">
    <w:name w:val="heading 1"/>
    <w:basedOn w:val="Normal"/>
    <w:next w:val="Normal"/>
    <w:link w:val="Heading1Char"/>
    <w:uiPriority w:val="9"/>
    <w:qFormat/>
    <w:rsid w:val="004E74FE"/>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4E74FE"/>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4E74FE"/>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4E74F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4E74FE"/>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4E74FE"/>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4FE"/>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4E74FE"/>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4E74FE"/>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4E74FE"/>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4E74FE"/>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4E74FE"/>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4E74FE"/>
    <w:pPr>
      <w:tabs>
        <w:tab w:val="center" w:pos="4680"/>
        <w:tab w:val="right" w:pos="9360"/>
      </w:tabs>
    </w:pPr>
  </w:style>
  <w:style w:type="character" w:customStyle="1" w:styleId="HeaderChar">
    <w:name w:val="Header Char"/>
    <w:basedOn w:val="DefaultParagraphFont"/>
    <w:link w:val="Header"/>
    <w:uiPriority w:val="99"/>
    <w:rsid w:val="004E74FE"/>
    <w:rPr>
      <w:sz w:val="24"/>
      <w:szCs w:val="24"/>
    </w:rPr>
  </w:style>
  <w:style w:type="paragraph" w:styleId="Footer">
    <w:name w:val="footer"/>
    <w:basedOn w:val="Normal"/>
    <w:link w:val="FooterChar"/>
    <w:uiPriority w:val="99"/>
    <w:unhideWhenUsed/>
    <w:rsid w:val="004E74FE"/>
    <w:pPr>
      <w:tabs>
        <w:tab w:val="center" w:pos="4680"/>
        <w:tab w:val="right" w:pos="9360"/>
      </w:tabs>
    </w:pPr>
  </w:style>
  <w:style w:type="character" w:customStyle="1" w:styleId="FooterChar">
    <w:name w:val="Footer Char"/>
    <w:basedOn w:val="DefaultParagraphFont"/>
    <w:link w:val="Footer"/>
    <w:uiPriority w:val="99"/>
    <w:rsid w:val="004E74FE"/>
    <w:rPr>
      <w:sz w:val="24"/>
      <w:szCs w:val="24"/>
    </w:rPr>
  </w:style>
  <w:style w:type="character" w:styleId="PageNumber">
    <w:name w:val="page number"/>
    <w:basedOn w:val="DefaultParagraphFont"/>
    <w:uiPriority w:val="99"/>
    <w:semiHidden/>
    <w:unhideWhenUsed/>
    <w:rsid w:val="004E74FE"/>
  </w:style>
  <w:style w:type="paragraph" w:styleId="Title">
    <w:name w:val="Title"/>
    <w:basedOn w:val="Normal"/>
    <w:next w:val="Normal"/>
    <w:link w:val="TitleChar"/>
    <w:uiPriority w:val="10"/>
    <w:qFormat/>
    <w:rsid w:val="004E74FE"/>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4E74FE"/>
    <w:rPr>
      <w:rFonts w:eastAsiaTheme="majorEastAsia" w:cstheme="majorBidi"/>
      <w:b/>
      <w:color w:val="000000" w:themeColor="text1"/>
      <w:spacing w:val="-10"/>
      <w:kern w:val="28"/>
      <w:sz w:val="52"/>
      <w:szCs w:val="56"/>
    </w:rPr>
  </w:style>
  <w:style w:type="table" w:styleId="TableGrid">
    <w:name w:val="Table Grid"/>
    <w:basedOn w:val="TableNormal"/>
    <w:uiPriority w:val="39"/>
    <w:rsid w:val="004E74F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4E74FE"/>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4E74FE"/>
    <w:rPr>
      <w:rFonts w:eastAsiaTheme="minorEastAsia"/>
      <w:color w:val="5A5A5A" w:themeColor="text1" w:themeTint="A5"/>
      <w:spacing w:val="15"/>
    </w:rPr>
  </w:style>
  <w:style w:type="character" w:styleId="SubtleEmphasis">
    <w:name w:val="Subtle Emphasis"/>
    <w:basedOn w:val="DefaultParagraphFont"/>
    <w:uiPriority w:val="19"/>
    <w:qFormat/>
    <w:rsid w:val="004E74FE"/>
    <w:rPr>
      <w:i/>
      <w:iCs/>
      <w:color w:val="404040" w:themeColor="text1" w:themeTint="BF"/>
    </w:rPr>
  </w:style>
  <w:style w:type="character" w:styleId="Emphasis">
    <w:name w:val="Emphasis"/>
    <w:basedOn w:val="DefaultParagraphFont"/>
    <w:uiPriority w:val="20"/>
    <w:qFormat/>
    <w:rsid w:val="004E74FE"/>
    <w:rPr>
      <w:i/>
      <w:iCs/>
    </w:rPr>
  </w:style>
  <w:style w:type="character" w:styleId="IntenseEmphasis">
    <w:name w:val="Intense Emphasis"/>
    <w:basedOn w:val="DefaultParagraphFont"/>
    <w:uiPriority w:val="21"/>
    <w:qFormat/>
    <w:rsid w:val="004E74FE"/>
    <w:rPr>
      <w:i/>
      <w:iCs/>
      <w:color w:val="4472C4" w:themeColor="accent1"/>
    </w:rPr>
  </w:style>
  <w:style w:type="character" w:styleId="Strong">
    <w:name w:val="Strong"/>
    <w:basedOn w:val="DefaultParagraphFont"/>
    <w:uiPriority w:val="22"/>
    <w:qFormat/>
    <w:rsid w:val="004E74FE"/>
    <w:rPr>
      <w:b/>
      <w:bCs/>
    </w:rPr>
  </w:style>
  <w:style w:type="paragraph" w:styleId="IntenseQuote">
    <w:name w:val="Intense Quote"/>
    <w:basedOn w:val="Normal"/>
    <w:next w:val="Normal"/>
    <w:link w:val="IntenseQuoteChar"/>
    <w:uiPriority w:val="30"/>
    <w:qFormat/>
    <w:rsid w:val="004E74F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E74FE"/>
    <w:rPr>
      <w:i/>
      <w:iCs/>
      <w:color w:val="4472C4" w:themeColor="accent1"/>
      <w:sz w:val="24"/>
      <w:szCs w:val="24"/>
    </w:rPr>
  </w:style>
  <w:style w:type="paragraph" w:styleId="Quote">
    <w:name w:val="Quote"/>
    <w:basedOn w:val="Normal"/>
    <w:next w:val="Normal"/>
    <w:link w:val="QuoteChar"/>
    <w:uiPriority w:val="29"/>
    <w:qFormat/>
    <w:rsid w:val="004E74F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E74FE"/>
    <w:rPr>
      <w:i/>
      <w:iCs/>
      <w:color w:val="404040" w:themeColor="text1" w:themeTint="BF"/>
      <w:sz w:val="24"/>
      <w:szCs w:val="24"/>
    </w:rPr>
  </w:style>
  <w:style w:type="character" w:styleId="IntenseReference">
    <w:name w:val="Intense Reference"/>
    <w:basedOn w:val="DefaultParagraphFont"/>
    <w:uiPriority w:val="32"/>
    <w:qFormat/>
    <w:rsid w:val="004E74FE"/>
    <w:rPr>
      <w:b/>
      <w:bCs/>
      <w:smallCaps/>
      <w:color w:val="4472C4" w:themeColor="accent1"/>
      <w:spacing w:val="5"/>
    </w:rPr>
  </w:style>
  <w:style w:type="character" w:styleId="SubtleReference">
    <w:name w:val="Subtle Reference"/>
    <w:basedOn w:val="DefaultParagraphFont"/>
    <w:uiPriority w:val="31"/>
    <w:qFormat/>
    <w:rsid w:val="004E74FE"/>
    <w:rPr>
      <w:smallCaps/>
      <w:color w:val="5A5A5A" w:themeColor="text1" w:themeTint="A5"/>
    </w:rPr>
  </w:style>
  <w:style w:type="paragraph" w:styleId="ListParagraph">
    <w:name w:val="List Paragraph"/>
    <w:basedOn w:val="Normal"/>
    <w:uiPriority w:val="34"/>
    <w:qFormat/>
    <w:rsid w:val="004E74FE"/>
    <w:pPr>
      <w:ind w:left="720"/>
      <w:contextualSpacing/>
    </w:pPr>
  </w:style>
  <w:style w:type="paragraph" w:styleId="FootnoteText">
    <w:name w:val="footnote text"/>
    <w:basedOn w:val="Normal"/>
    <w:link w:val="FootnoteTextChar"/>
    <w:uiPriority w:val="99"/>
    <w:unhideWhenUsed/>
    <w:rsid w:val="004E74FE"/>
  </w:style>
  <w:style w:type="character" w:customStyle="1" w:styleId="FootnoteTextChar">
    <w:name w:val="Footnote Text Char"/>
    <w:basedOn w:val="DefaultParagraphFont"/>
    <w:link w:val="FootnoteText"/>
    <w:uiPriority w:val="99"/>
    <w:rsid w:val="004E74FE"/>
    <w:rPr>
      <w:sz w:val="24"/>
      <w:szCs w:val="24"/>
    </w:rPr>
  </w:style>
  <w:style w:type="character" w:styleId="FootnoteReference">
    <w:name w:val="footnote reference"/>
    <w:basedOn w:val="DefaultParagraphFont"/>
    <w:uiPriority w:val="99"/>
    <w:unhideWhenUsed/>
    <w:rsid w:val="004E74FE"/>
    <w:rPr>
      <w:vertAlign w:val="superscript"/>
    </w:rPr>
  </w:style>
  <w:style w:type="paragraph" w:customStyle="1" w:styleId="Normal1">
    <w:name w:val="Normal1"/>
    <w:rsid w:val="004E74FE"/>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4E74FE"/>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4E74FE"/>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4E74FE"/>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4E74FE"/>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4E74FE"/>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4E74FE"/>
    <w:rPr>
      <w:color w:val="0563C1" w:themeColor="hyperlink"/>
      <w:u w:val="single"/>
    </w:rPr>
  </w:style>
  <w:style w:type="table" w:customStyle="1" w:styleId="LightShading-Accent11">
    <w:name w:val="Light Shading - Accent 11"/>
    <w:basedOn w:val="TableNormal"/>
    <w:uiPriority w:val="60"/>
    <w:rsid w:val="004E74FE"/>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4E74FE"/>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4E74FE"/>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4E74FE"/>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4E74FE"/>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4E74FE"/>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4E74FE"/>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4E74FE"/>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4E74FE"/>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4E74FE"/>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4E74FE"/>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4E74FE"/>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4E74FE"/>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4E74FE"/>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4E74FE"/>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4E74FE"/>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4E74FE"/>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4E74FE"/>
    <w:rPr>
      <w:rFonts w:ascii="Segoe UI" w:hAnsi="Segoe UI" w:cs="Segoe UI"/>
      <w:sz w:val="18"/>
      <w:szCs w:val="18"/>
    </w:rPr>
  </w:style>
  <w:style w:type="character" w:customStyle="1" w:styleId="CommentTextChar">
    <w:name w:val="Comment Text Char"/>
    <w:basedOn w:val="DefaultParagraphFont"/>
    <w:link w:val="CommentText"/>
    <w:uiPriority w:val="99"/>
    <w:semiHidden/>
    <w:rsid w:val="004E74FE"/>
    <w:rPr>
      <w:rFonts w:eastAsiaTheme="minorEastAsia"/>
      <w:sz w:val="20"/>
      <w:szCs w:val="20"/>
    </w:rPr>
  </w:style>
  <w:style w:type="paragraph" w:styleId="CommentText">
    <w:name w:val="annotation text"/>
    <w:basedOn w:val="Normal"/>
    <w:link w:val="CommentTextChar"/>
    <w:uiPriority w:val="99"/>
    <w:semiHidden/>
    <w:unhideWhenUsed/>
    <w:rsid w:val="004E74FE"/>
    <w:rPr>
      <w:rFonts w:eastAsiaTheme="minorEastAsia"/>
      <w:sz w:val="20"/>
      <w:szCs w:val="20"/>
    </w:rPr>
  </w:style>
  <w:style w:type="character" w:customStyle="1" w:styleId="CommentTextChar1">
    <w:name w:val="Comment Text Char1"/>
    <w:basedOn w:val="DefaultParagraphFont"/>
    <w:uiPriority w:val="99"/>
    <w:semiHidden/>
    <w:rsid w:val="004E74FE"/>
    <w:rPr>
      <w:sz w:val="20"/>
      <w:szCs w:val="20"/>
    </w:rPr>
  </w:style>
  <w:style w:type="character" w:customStyle="1" w:styleId="CommentSubjectChar">
    <w:name w:val="Comment Subject Char"/>
    <w:basedOn w:val="CommentTextChar"/>
    <w:link w:val="CommentSubject"/>
    <w:uiPriority w:val="99"/>
    <w:semiHidden/>
    <w:rsid w:val="004E74FE"/>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4E74FE"/>
    <w:rPr>
      <w:b/>
      <w:bCs/>
    </w:rPr>
  </w:style>
  <w:style w:type="character" w:customStyle="1" w:styleId="CommentSubjectChar1">
    <w:name w:val="Comment Subject Char1"/>
    <w:basedOn w:val="CommentTextChar1"/>
    <w:uiPriority w:val="99"/>
    <w:semiHidden/>
    <w:rsid w:val="004E74FE"/>
    <w:rPr>
      <w:b/>
      <w:bCs/>
      <w:sz w:val="20"/>
      <w:szCs w:val="20"/>
    </w:rPr>
  </w:style>
  <w:style w:type="table" w:styleId="LightShading">
    <w:name w:val="Light Shading"/>
    <w:basedOn w:val="TableNormal"/>
    <w:uiPriority w:val="60"/>
    <w:rsid w:val="004E74FE"/>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4E74FE"/>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4E74FE"/>
    <w:pPr>
      <w:spacing w:before="240"/>
    </w:pPr>
    <w:rPr>
      <w:rFonts w:ascii="Times New Roman" w:eastAsia="Times New Roman" w:hAnsi="Times New Roman" w:cs="Times New Roman"/>
      <w:szCs w:val="20"/>
    </w:rPr>
  </w:style>
  <w:style w:type="character" w:customStyle="1" w:styleId="BlockChar">
    <w:name w:val="Block Char"/>
    <w:link w:val="Block"/>
    <w:rsid w:val="004E74FE"/>
    <w:rPr>
      <w:rFonts w:ascii="Times New Roman" w:eastAsia="Times New Roman" w:hAnsi="Times New Roman" w:cs="Times New Roman"/>
      <w:sz w:val="24"/>
      <w:szCs w:val="20"/>
    </w:rPr>
  </w:style>
  <w:style w:type="paragraph" w:customStyle="1" w:styleId="Bullet1">
    <w:name w:val="Bullet 1"/>
    <w:rsid w:val="004E74FE"/>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4E74FE"/>
    <w:pPr>
      <w:ind w:left="720"/>
    </w:pPr>
    <w:rPr>
      <w:sz w:val="20"/>
      <w:szCs w:val="20"/>
    </w:rPr>
  </w:style>
  <w:style w:type="paragraph" w:styleId="TOC5">
    <w:name w:val="toc 5"/>
    <w:basedOn w:val="Normal"/>
    <w:next w:val="Normal"/>
    <w:autoRedefine/>
    <w:uiPriority w:val="39"/>
    <w:unhideWhenUsed/>
    <w:rsid w:val="004E74FE"/>
    <w:pPr>
      <w:ind w:left="960"/>
    </w:pPr>
    <w:rPr>
      <w:sz w:val="20"/>
      <w:szCs w:val="20"/>
    </w:rPr>
  </w:style>
  <w:style w:type="paragraph" w:styleId="TOC6">
    <w:name w:val="toc 6"/>
    <w:basedOn w:val="Normal"/>
    <w:next w:val="Normal"/>
    <w:autoRedefine/>
    <w:uiPriority w:val="39"/>
    <w:unhideWhenUsed/>
    <w:rsid w:val="004E74FE"/>
    <w:pPr>
      <w:ind w:left="1200"/>
    </w:pPr>
    <w:rPr>
      <w:sz w:val="20"/>
      <w:szCs w:val="20"/>
    </w:rPr>
  </w:style>
  <w:style w:type="paragraph" w:styleId="TOC7">
    <w:name w:val="toc 7"/>
    <w:basedOn w:val="Normal"/>
    <w:next w:val="Normal"/>
    <w:autoRedefine/>
    <w:uiPriority w:val="39"/>
    <w:unhideWhenUsed/>
    <w:rsid w:val="004E74FE"/>
    <w:pPr>
      <w:ind w:left="1440"/>
    </w:pPr>
    <w:rPr>
      <w:sz w:val="20"/>
      <w:szCs w:val="20"/>
    </w:rPr>
  </w:style>
  <w:style w:type="paragraph" w:styleId="TOC8">
    <w:name w:val="toc 8"/>
    <w:basedOn w:val="Normal"/>
    <w:next w:val="Normal"/>
    <w:autoRedefine/>
    <w:uiPriority w:val="39"/>
    <w:unhideWhenUsed/>
    <w:rsid w:val="004E74FE"/>
    <w:pPr>
      <w:ind w:left="1680"/>
    </w:pPr>
    <w:rPr>
      <w:sz w:val="20"/>
      <w:szCs w:val="20"/>
    </w:rPr>
  </w:style>
  <w:style w:type="paragraph" w:styleId="TOC9">
    <w:name w:val="toc 9"/>
    <w:basedOn w:val="Normal"/>
    <w:next w:val="Normal"/>
    <w:autoRedefine/>
    <w:uiPriority w:val="39"/>
    <w:unhideWhenUsed/>
    <w:rsid w:val="004E74FE"/>
    <w:pPr>
      <w:ind w:left="1920"/>
    </w:pPr>
    <w:rPr>
      <w:sz w:val="20"/>
      <w:szCs w:val="20"/>
    </w:rPr>
  </w:style>
  <w:style w:type="character" w:styleId="CommentReference">
    <w:name w:val="annotation reference"/>
    <w:basedOn w:val="DefaultParagraphFont"/>
    <w:uiPriority w:val="99"/>
    <w:semiHidden/>
    <w:unhideWhenUsed/>
    <w:rsid w:val="004E74FE"/>
    <w:rPr>
      <w:sz w:val="16"/>
      <w:szCs w:val="16"/>
    </w:rPr>
  </w:style>
  <w:style w:type="table" w:styleId="GridTable1Light-Accent3">
    <w:name w:val="Grid Table 1 Light Accent 3"/>
    <w:basedOn w:val="TableNormal"/>
    <w:uiPriority w:val="46"/>
    <w:rsid w:val="004E74FE"/>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4E74FE"/>
    <w:rPr>
      <w:color w:val="954F72" w:themeColor="followedHyperlink"/>
      <w:u w:val="single"/>
    </w:rPr>
  </w:style>
  <w:style w:type="paragraph" w:styleId="Revision">
    <w:name w:val="Revision"/>
    <w:hidden/>
    <w:uiPriority w:val="99"/>
    <w:semiHidden/>
    <w:rsid w:val="004E74FE"/>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0297EF-F4BD-41AB-A1BA-9877F9D39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0416EB-57C9-4905-8B9A-E24AE848E94E}">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3.xml><?xml version="1.0" encoding="utf-8"?>
<ds:datastoreItem xmlns:ds="http://schemas.openxmlformats.org/officeDocument/2006/customXml" ds:itemID="{BD2248A3-0092-4F89-AD10-D26165775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1696</Words>
  <Characters>10383</Characters>
  <Application>Microsoft Office Word</Application>
  <DocSecurity>0</DocSecurity>
  <Lines>296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11</cp:revision>
  <dcterms:created xsi:type="dcterms:W3CDTF">2018-12-06T04:54:00Z</dcterms:created>
  <dcterms:modified xsi:type="dcterms:W3CDTF">2026-01-23T09:08:00Z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